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  <w:t xml:space="preserve">Deklaracja </w:t>
      </w:r>
      <w:r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  <w:t xml:space="preserve">z </w:t>
      </w:r>
      <w:proofErr w:type="spellStart"/>
      <w:r w:rsidRPr="00661688"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  <w:t>Venhorst</w:t>
      </w:r>
      <w:proofErr w:type="spellEnd"/>
      <w:r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  <w:t>,</w:t>
      </w:r>
      <w:r w:rsidRPr="00661688"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  <w:t xml:space="preserve"> 21 października 2017 r</w:t>
      </w:r>
      <w:r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  <w:t>.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My, 250 uczestników z 40 krajów europejskich spotkaliśmy się podczas 3. Europejskiego Parlamentu Wiejskiego we wsi </w:t>
      </w:r>
      <w:proofErr w:type="spellStart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Venhorst</w:t>
      </w:r>
      <w:proofErr w:type="spellEnd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, prowincja Brabancja Północna, Holandia</w:t>
      </w:r>
      <w:r w:rsidR="00220E71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,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od 18 do 21 października 2017 r. pod auspicjami Sekretarza Generalnego Rady Europy, przy udziale przedstawicieli instytucji Unii Europejskiej, rządów krajowych i organizacji społeczeństwa obywatelskiego z wielu krajów. Jesteśmy wdzięczni za gościnność mieszkańców </w:t>
      </w:r>
      <w:proofErr w:type="spellStart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Venhorst</w:t>
      </w:r>
      <w:proofErr w:type="spellEnd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oraz za duży wysiłek organizacyjny i wsparcie </w:t>
      </w:r>
      <w:proofErr w:type="spellStart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Vereniging</w:t>
      </w:r>
      <w:proofErr w:type="spellEnd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</w:t>
      </w:r>
      <w:proofErr w:type="spellStart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Kleine</w:t>
      </w:r>
      <w:proofErr w:type="spellEnd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</w:t>
      </w:r>
      <w:proofErr w:type="spellStart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Kernen</w:t>
      </w:r>
      <w:proofErr w:type="spellEnd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</w:t>
      </w:r>
      <w:proofErr w:type="spellStart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Noord</w:t>
      </w:r>
      <w:proofErr w:type="spellEnd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</w:t>
      </w:r>
      <w:proofErr w:type="spellStart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Brabant</w:t>
      </w:r>
      <w:proofErr w:type="spellEnd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(VKKNB), władz publicznych i organizacji Brabancji Północnej oraz </w:t>
      </w:r>
      <w:proofErr w:type="spellStart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Landelijke</w:t>
      </w:r>
      <w:proofErr w:type="spellEnd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</w:t>
      </w:r>
      <w:proofErr w:type="spellStart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VerenigingvoKleineKernen</w:t>
      </w:r>
      <w:proofErr w:type="spellEnd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(LVKK) i rządu krajowego Holandii. Omawialiśmy potrzeby obszarów wiejskich i </w:t>
      </w:r>
      <w:r w:rsidR="00220E71"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sformułowaliśmy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wskazówki, jak zapewnić dobrobyt wszystkich społeczności wiejskich w całej Europie.</w:t>
      </w:r>
      <w:bookmarkStart w:id="0" w:name="_GoBack"/>
      <w:bookmarkEnd w:id="0"/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Skupiliśmy się na sile społeczności wiejskich do podejmowania inicjatyw i zorganizowaliśmy wizyty i warsztaty wokół  </w:t>
      </w:r>
      <w:r w:rsidRPr="000004E9"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  <w:t>sześciu wiodących tematów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: tworzenie społeczności otwartych na przyszłość, optymalizacja infrastruktury i usług społecznych, </w:t>
      </w:r>
      <w:r w:rsidRPr="00C725AF">
        <w:rPr>
          <w:rFonts w:ascii="inherit" w:eastAsia="Times New Roman" w:hAnsi="inherit" w:cs="Courier New"/>
          <w:sz w:val="24"/>
          <w:szCs w:val="24"/>
          <w:lang w:eastAsia="pl-PL"/>
        </w:rPr>
        <w:t xml:space="preserve">wspólna </w:t>
      </w:r>
      <w:r w:rsidR="00C725AF" w:rsidRPr="00C725AF">
        <w:rPr>
          <w:rFonts w:ascii="inherit" w:eastAsia="Times New Roman" w:hAnsi="inherit" w:cs="Courier New"/>
          <w:sz w:val="24"/>
          <w:szCs w:val="24"/>
          <w:lang w:eastAsia="pl-PL"/>
        </w:rPr>
        <w:t>troska</w:t>
      </w:r>
      <w:r w:rsidRPr="00C725AF">
        <w:rPr>
          <w:rFonts w:ascii="inherit" w:eastAsia="Times New Roman" w:hAnsi="inherit" w:cs="Courier New"/>
          <w:sz w:val="24"/>
          <w:szCs w:val="24"/>
          <w:lang w:eastAsia="pl-PL"/>
        </w:rPr>
        <w:t xml:space="preserve"> i włączanie w to innych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, rozwijanie bazy ekonomicznej wspólnoty, wspólne podejmowanie decyzji oraz przyjmowanie nowych ludzi do społeczności. W pełni uznaliśmy pilność obecnej sytuacji i</w:t>
      </w:r>
      <w:r w:rsidR="00220E71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główne wyzwania, przed którymi stoi obecnie Europa. Wyzwania obejmują szybki rozwój cyfryzacji i automatyzacji, ruchy ludności od ubogich do bogatych regionów i od obszarów wiejskich do miast, przepływ uchodźców do Europy, ciągła utrata różnorodności biologicznej, zmiana klimatu i jej wpływ na wiele części Europy i wynikające z tego </w:t>
      </w:r>
      <w:r w:rsidRPr="00661688">
        <w:rPr>
          <w:rFonts w:ascii="inherit" w:eastAsia="Times New Roman" w:hAnsi="inherit" w:cs="Courier New" w:hint="eastAsia"/>
          <w:color w:val="212121"/>
          <w:sz w:val="24"/>
          <w:szCs w:val="24"/>
          <w:lang w:eastAsia="pl-PL"/>
        </w:rPr>
        <w:t>obciążenia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zasobów Unii Europejskiej i władz publicznych na całym kontynencie. Społeczności wiejskie są w stanie i chcą przyczynić się do sprostania tym wyzwaniom.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Opierając się na krajowych parlamentach obszarów wiejskich i innych wydarzeniach organizowanych przez naszych europejskich i krajowych partnerów przez ostatnie dwa lata, dyskusje w </w:t>
      </w:r>
      <w:proofErr w:type="spellStart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Venhorst</w:t>
      </w:r>
      <w:proofErr w:type="spellEnd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zaowocowały wezwaniem do obywateli i decydentów do wspierania żywotności obszarów wiejskich i zapewnienia, że ogólne polityki i programy</w:t>
      </w:r>
      <w:r w:rsidRPr="00394BC5">
        <w:rPr>
          <w:rFonts w:ascii="inherit" w:eastAsia="Times New Roman" w:hAnsi="inherit" w:cs="Courier New"/>
          <w:sz w:val="24"/>
          <w:szCs w:val="24"/>
          <w:lang w:eastAsia="pl-PL"/>
        </w:rPr>
        <w:t xml:space="preserve"> uwzględniają </w:t>
      </w:r>
      <w:r w:rsidR="00394BC5" w:rsidRPr="00394BC5">
        <w:rPr>
          <w:rFonts w:ascii="inherit" w:eastAsia="Times New Roman" w:hAnsi="inherit" w:cs="Courier New"/>
          <w:sz w:val="24"/>
          <w:szCs w:val="24"/>
          <w:lang w:eastAsia="pl-PL"/>
        </w:rPr>
        <w:t>uwarunkowania</w:t>
      </w:r>
      <w:r w:rsidRPr="00394BC5">
        <w:rPr>
          <w:rFonts w:ascii="inherit" w:eastAsia="Times New Roman" w:hAnsi="inherit" w:cs="Courier New"/>
          <w:sz w:val="24"/>
          <w:szCs w:val="24"/>
          <w:lang w:eastAsia="pl-PL"/>
        </w:rPr>
        <w:t xml:space="preserve"> wiejskie. </w:t>
      </w:r>
      <w:r w:rsidRPr="00661688">
        <w:rPr>
          <w:rFonts w:ascii="inherit" w:eastAsia="Times New Roman" w:hAnsi="inherit" w:cs="Courier New"/>
          <w:sz w:val="24"/>
          <w:szCs w:val="24"/>
          <w:lang w:eastAsia="pl-PL"/>
        </w:rPr>
        <w:t>Co więcej,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wzywamy obywateli i decydentów do pomocy w tworzeniu zrównoważonych społeczności wiejskich w następujących kwestiach: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  <w:t>Infrastruktura, usługi i łączność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Dobrobyt społeczny i gospodarczy wielu obszarów wiejskich jest zagrożony słabą infrastrukturą oraz utratą lub brakiem niezbędnych usług, takich jak transport publiczny, zdrowie i edukacja. Wzywamy dostaw</w:t>
      </w:r>
      <w:r w:rsidR="00220E71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ców usług podstawowych, wiejski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e</w:t>
      </w:r>
      <w:r w:rsidR="00220E71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społeczności i władze publiczne do utrzymania i rozszerzenia usług oraz nowoczesnej infrastruktury na obszarach wiejskich; lub</w:t>
      </w:r>
      <w:r w:rsidR="00220E71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(jeśli nie jest to możliwe) do pracy ze społecznościami wiejskimi, aby znaleźć pomysłowe rozwiązania. Należy opracować nowe modele biznesowe w celu zapewnienia trwałości takich rozwiązań. Te modele powinny być oparte na przynoszeniu korzyści wspólnocie dla utrzymania i witalności lokalnych społeczności. Decydenci polityczni mają ważną rolę do odegrania w ułatwianiu i finansowaniu digitalizacji, wysokiej jakości </w:t>
      </w:r>
      <w:proofErr w:type="spellStart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internetu</w:t>
      </w:r>
      <w:proofErr w:type="spellEnd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, odnawialnych źródeł energii i ekosystemu</w:t>
      </w:r>
      <w:r w:rsidR="00220E71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, usług i rozwo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j</w:t>
      </w:r>
      <w:r w:rsidR="00220E71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u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inteligentnych rozwiąza</w:t>
      </w:r>
      <w:r w:rsidR="00220E71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ń transportowych oraz wspieraniu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rozwoju </w:t>
      </w:r>
      <w:r w:rsidRPr="00C725AF">
        <w:rPr>
          <w:rFonts w:ascii="inherit" w:eastAsia="Times New Roman" w:hAnsi="inherit" w:cs="Courier New"/>
          <w:sz w:val="24"/>
          <w:szCs w:val="24"/>
          <w:lang w:eastAsia="pl-PL"/>
        </w:rPr>
        <w:t>synergetycznych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relacji miejsko-wiejskich.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lastRenderedPageBreak/>
        <w:t xml:space="preserve">Powinny wprowadzić </w:t>
      </w:r>
      <w:r w:rsidR="00220E71"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ustawodawstwo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, by nadać społecznościom prawo do dbania o swoje własne</w:t>
      </w:r>
      <w:r w:rsidRPr="00220E71">
        <w:rPr>
          <w:rFonts w:ascii="inherit" w:eastAsia="Times New Roman" w:hAnsi="inherit" w:cs="Courier New"/>
          <w:color w:val="FF0000"/>
          <w:sz w:val="24"/>
          <w:szCs w:val="24"/>
          <w:lang w:eastAsia="pl-PL"/>
        </w:rPr>
        <w:t xml:space="preserve"> </w:t>
      </w:r>
      <w:r w:rsidRPr="00C725AF">
        <w:rPr>
          <w:rFonts w:ascii="inherit" w:eastAsia="Times New Roman" w:hAnsi="inherit" w:cs="Courier New"/>
          <w:sz w:val="24"/>
          <w:szCs w:val="24"/>
          <w:lang w:eastAsia="pl-PL"/>
        </w:rPr>
        <w:t>udogodnienia</w:t>
      </w:r>
      <w:r w:rsidRPr="00220E71">
        <w:rPr>
          <w:rFonts w:ascii="inherit" w:eastAsia="Times New Roman" w:hAnsi="inherit" w:cs="Courier New"/>
          <w:color w:val="FF0000"/>
          <w:sz w:val="24"/>
          <w:szCs w:val="24"/>
          <w:lang w:eastAsia="pl-PL"/>
        </w:rPr>
        <w:t xml:space="preserve"> 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na terenie wsi, na przykład poprzez prawo do kwestionowania i składania ofert. Ważne jest finansowanie przedsiębiorstw wspólnotowych. System ERP może odgrywać rolę poprzez gromadzenie najlepszych praktyk inicjatyw obywatelskich w tych dziedzinach.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  <w:t>Walka z ubóstwem i wykluczeniem społecznym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Wiele wspólnot wiejskich cechuje duch wzajemnej troski. Jednak nierówności społeczne można znaleźć wszędzie, osoby o niskich dochodach, brak dostępu do usług lub dyskryminację. Społeczności wiejskie powinny </w:t>
      </w:r>
      <w:r w:rsidR="00220E71"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przejąć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inicjatywę w opiece nad potrzebującymi. Powinny być stanowcze w nacisku na władze krajowe i lokalne by zapewnić integrację społeczną i zasoby dla osób starszych, niedołężnych i innych potrzebujących naszej opieki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  <w:t>Wzmocnienie lokalnych gospodarek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 w:hint="eastAsia"/>
          <w:color w:val="212121"/>
          <w:sz w:val="24"/>
          <w:szCs w:val="24"/>
          <w:lang w:eastAsia="pl-PL"/>
        </w:rPr>
        <w:t>Ż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ywotne  społeczności potrzebują solidnej bazy ekonomicznej, aby się rozwijać. Małe i rodzinne gospodarstwa są często w centrum lokalnych gospodarek i powinny być wspierane. Wiele obszarów wiejskich staje w obliczu upadku tradycyjnych gałęzi przemysłu, zagrożenia </w:t>
      </w:r>
      <w:r w:rsidR="00220E71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skutkami automatyzacji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, a nawet zamykania i przeniesienie działalności. Istnieją obiecujące przykłady społeczności wiejskich, którym udało się stworzyć nowe "inteligentne" gospodarki w oparciu o ich silne strony i najważniejsze sektory gospodarki. Wzywamy krajowych i europejskich decydentów politycznych, do wspierania takich eksperymentów. Celem powinno być stymulowanie wzmocnienia regionalnej struktury gospodarczej, z uwzględnieniem ważnej roli MŚP i spółdzielni i wspólnej wizji rozwoju</w:t>
      </w:r>
      <w:r w:rsidR="00394BC5" w:rsidRPr="00C725AF">
        <w:rPr>
          <w:rFonts w:ascii="inherit" w:eastAsia="Times New Roman" w:hAnsi="inherit" w:cs="Courier New"/>
          <w:sz w:val="24"/>
          <w:szCs w:val="24"/>
          <w:lang w:eastAsia="pl-PL"/>
        </w:rPr>
        <w:t>,</w:t>
      </w:r>
      <w:r w:rsidR="00394BC5">
        <w:rPr>
          <w:rFonts w:ascii="inherit" w:eastAsia="Times New Roman" w:hAnsi="inherit" w:cs="Courier New"/>
          <w:color w:val="FF0000"/>
          <w:sz w:val="24"/>
          <w:szCs w:val="24"/>
          <w:lang w:eastAsia="pl-PL"/>
        </w:rPr>
        <w:t xml:space="preserve"> </w:t>
      </w:r>
      <w:r w:rsidR="00394BC5" w:rsidRPr="00C725AF">
        <w:rPr>
          <w:rFonts w:ascii="inherit" w:eastAsia="Times New Roman" w:hAnsi="inherit" w:cs="Courier New"/>
          <w:sz w:val="24"/>
          <w:szCs w:val="24"/>
          <w:lang w:eastAsia="pl-PL"/>
        </w:rPr>
        <w:t xml:space="preserve">który nie ma </w:t>
      </w:r>
      <w:r w:rsidR="00394BC5" w:rsidRPr="00C725AF">
        <w:rPr>
          <w:rFonts w:ascii="inherit" w:eastAsia="Times New Roman" w:hAnsi="inherit" w:cs="Courier New" w:hint="eastAsia"/>
          <w:sz w:val="24"/>
          <w:szCs w:val="24"/>
          <w:lang w:eastAsia="pl-PL"/>
        </w:rPr>
        <w:t>wpływu</w:t>
      </w:r>
      <w:r w:rsidR="00394BC5" w:rsidRPr="00C725AF">
        <w:rPr>
          <w:rFonts w:ascii="inherit" w:eastAsia="Times New Roman" w:hAnsi="inherit" w:cs="Courier New"/>
          <w:sz w:val="24"/>
          <w:szCs w:val="24"/>
          <w:lang w:eastAsia="pl-PL"/>
        </w:rPr>
        <w:t xml:space="preserve"> </w:t>
      </w:r>
      <w:r w:rsidRPr="00C725AF">
        <w:rPr>
          <w:rFonts w:ascii="inherit" w:eastAsia="Times New Roman" w:hAnsi="inherit" w:cs="Courier New"/>
          <w:sz w:val="24"/>
          <w:szCs w:val="24"/>
          <w:lang w:eastAsia="pl-PL"/>
        </w:rPr>
        <w:t xml:space="preserve">na zmiany klimatyczne. 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Taki program pasuje do  podejścia przedstawionego ostatnio jako działanie UE na rzecz inteligentnych wsi.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  <w:t>Powitanie nowych ludzi w społeczności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Społeczności wiejskie mogą być dobrze przygotowane do przyjmowania osób, które przyjeżdżają do Europy jako uchodźcy lub ekonomiczni  imigranci. Istnieją dobre przykłady takich działań w kilku krajach. Ale przyjmowanie i integracja nowoprzybyłych nie jest łatwe. Sieć europejskiego parlamentu obszarów wiejskich powinna wspierać wymianę praktyczną doświadczeń wśród osób pracujących w tej dziedzinie. Wspólnie możemy opracować internetowy zestaw dobrych praktyk, które pomagają społecznościom w rozwoju lokalnych inicjatyw.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  <w:t>Młodość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Młodzi ludzie mają kluczowe znaczenie dla przyszłości obszarów wiejskich. Ich prawa są chronione przez konwencje Organizację Narodów Zjednoczonych. Przywiązujemy dużą wagę do umożliwienia młodym ludziom odnale</w:t>
      </w:r>
      <w:r w:rsidR="00220E71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zienia godziwego życia na wsi. O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bejmuje to wystarczające usługi, które odpowiadają ich potrzebom, a także włączanie młodzieży w proces rozwoju obszarów wiejskich. Wzywamy rządy, </w:t>
      </w:r>
      <w:r w:rsidR="00220E71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władze publiczne i grupy LEADERA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do zapewnienia, że ​​młodzi ludzie mogą brać udział w finansowanych  programach. 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lastRenderedPageBreak/>
        <w:t xml:space="preserve">Zwracamy się do partnerów ERP, do </w:t>
      </w:r>
      <w:r w:rsidR="00220E71"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polaczenia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się z inicjatywami na rzecz młodzieży wiejskiej i wspierania ich, gdzie tylko to możliwe, na przykład poprzez angażowanie młodych ludzi w inicjatywy społeczne i wspieranie międzynarodowej wymiany między młodymi ludźmi w różnych krajach europejskich, między innymi poprzez spotkania takie jak niedawno pierwszy Europejski Parlament Młodzieży Wiejskiej.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  <w:t>Rozwój oddolny oparty na terytorium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Spotkanie ERP w </w:t>
      </w:r>
      <w:proofErr w:type="spellStart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Venhorst</w:t>
      </w:r>
      <w:proofErr w:type="spellEnd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ujawniło entuzjazm mieszkańców wsi do angażowania się na rzecz swojej społeczności, rozwijania wielu inicjatyw mających na celu wzmocnienie żywotności obszarów wiejskich. Wzywamy rządy i europejskie instytucje do: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- uznania znaczenia poziomu lokalnego dla opracowania kreatywnych, otwartych i dostosowanych do potrzeb strategii;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- inwestowania w budowanie potencjału i wspieranie obywateli, którzy są gotowi zaangażować się i zainwe</w:t>
      </w:r>
      <w:r w:rsidR="00220E71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stować znaczne środki i  wolny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czas dla społeczności;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- wzmocnienie wielopoziomowych </w:t>
      </w:r>
      <w:proofErr w:type="spellStart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partnerstw</w:t>
      </w:r>
      <w:proofErr w:type="spellEnd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podmiotów publicznych, prywatnych i społeczeństwa obywatelskiego; i wyposażenie tych </w:t>
      </w:r>
      <w:proofErr w:type="spellStart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partnerstw</w:t>
      </w:r>
      <w:proofErr w:type="spellEnd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by zapewnić brakujące ogniwo między politykami na poziomie krajowym lub regionalnym a inicjatywami oddolnymi na szczeblu lokalnym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- dodanie wartości do lokalnych zasobów: priorytet należy przyznać inwestycjom, które zwiększają wiedzę i </w:t>
      </w:r>
      <w:r w:rsidRPr="00661688">
        <w:rPr>
          <w:rFonts w:ascii="inherit" w:eastAsia="Times New Roman" w:hAnsi="inherit" w:cs="Courier New" w:hint="eastAsia"/>
          <w:color w:val="212121"/>
          <w:sz w:val="24"/>
          <w:szCs w:val="24"/>
          <w:lang w:eastAsia="pl-PL"/>
        </w:rPr>
        <w:t>możliwości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społeczności oraz poprawia</w:t>
      </w:r>
      <w:r w:rsidR="00D4116D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ją zrównoważone wykorzystanie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strategicznych zasobów, takich jak krajobrazy wysokiej jakości, dziedzictwo kulturowe, łącza szerokopasmowe, żywność i odpady.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  <w:t>Fundusz na rzecz LEADERA / Rozwój lokalny kierowany przez społeczność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Cele te powinny znaleźć odzwi</w:t>
      </w:r>
      <w:r w:rsidR="00D4116D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erciedlenie w funduszu dla Rozwoju Lokalnego Kierowanego przez S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połeczność, opierając się na długoletnim doświadczeniu w podejściu LEADER. </w:t>
      </w:r>
      <w:r w:rsidRPr="008F709F">
        <w:rPr>
          <w:rFonts w:ascii="inherit" w:eastAsia="Times New Roman" w:hAnsi="inherit" w:cs="Courier New"/>
          <w:b/>
          <w:color w:val="212121"/>
          <w:sz w:val="24"/>
          <w:szCs w:val="24"/>
          <w:lang w:eastAsia="pl-PL"/>
        </w:rPr>
        <w:t xml:space="preserve">Proponujemy, aby Unia Europejska ustanowiła odrębny fundusz na rozwój lokalny kierowany przez społeczność, z odpowiednimi krajowymi lub regionalnymi programami w państwach członkowskich </w:t>
      </w:r>
      <w:r w:rsidRPr="008F709F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(zob. Tartu</w:t>
      </w:r>
      <w:r w:rsidR="00D4116D" w:rsidRPr="008F709F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</w:t>
      </w:r>
      <w:r w:rsidRPr="008F709F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deklaracja). Fundusz ten powinien otrzymać znaczną część wszystkich europejskich funduszy strukturalnych.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Jego wykorzystanie powinno </w:t>
      </w:r>
      <w:r w:rsidRPr="00661688">
        <w:rPr>
          <w:rFonts w:ascii="inherit" w:eastAsia="Times New Roman" w:hAnsi="inherit" w:cs="Courier New" w:hint="eastAsia"/>
          <w:color w:val="212121"/>
          <w:sz w:val="24"/>
          <w:szCs w:val="24"/>
          <w:lang w:eastAsia="pl-PL"/>
        </w:rPr>
        <w:t>być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zarezerwowane na cele wyznaczone przez strategie kierowane przez społeczność, bez rozróżnienia i rozgraniczenia między różnymi funduszami ESI. Fundusze powinny być rozmieszczone w sposób zdecentralizowany, poprzez lokalne partnerstwa, aby lokalne strategie odpowiadały lokalnym potrzebom i wyzwaniom, tak jak wyjaśnia to poniższy schemat</w:t>
      </w:r>
    </w:p>
    <w:p w:rsidR="00661688" w:rsidRPr="00661688" w:rsidRDefault="00661688" w:rsidP="00661688">
      <w:pPr>
        <w:jc w:val="both"/>
        <w:rPr>
          <w:sz w:val="24"/>
          <w:szCs w:val="24"/>
        </w:rPr>
      </w:pPr>
      <w:r w:rsidRPr="006616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Kraje kandydujące, przystępujące i sąsiednie, które korzystają z systemów UE w swoich wiejskich gospodarkach powinny być dopuszczone do udziału w konsultacjach związanych z nową polityką UE.</w:t>
      </w:r>
    </w:p>
    <w:p w:rsidR="00661688" w:rsidRP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lastRenderedPageBreak/>
        <w:t>Deklaracja ta jest wynikiem inspirującego spotkania, w którym przedstawiciele społeczności wiejskich z całej Europy wymieniały najlepsze praktyki i wyciągały wnioski. Apelujemy o intensywne działania następcze i kontynuowanie kampanii na rzecz zrównoważonej przyszłości na obszarach wiejskic</w:t>
      </w:r>
      <w:r w:rsidR="000004E9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h, śledzenie naszych osiągnięć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między spotkaniami ERP. Ta Deklaracja będzie wspierana w ciągu następnego miesiąca przez dokument uzupełniający zawierający szczegółowe propozycje dotyczące tych tematów w oparciu o postępowanie w  ERP w </w:t>
      </w:r>
      <w:proofErr w:type="spellStart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Venhorst</w:t>
      </w:r>
      <w:proofErr w:type="spellEnd"/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.</w:t>
      </w:r>
    </w:p>
    <w:p w:rsidR="00661688" w:rsidRDefault="00661688" w:rsidP="00661688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</w:pP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Zachęcamy instytucje europejskie, aby przyjęły niniejszą Deklarację jako wkład w dyskusję na temat ram </w:t>
      </w:r>
      <w:r w:rsidRPr="00661688">
        <w:rPr>
          <w:rFonts w:ascii="inherit" w:eastAsia="Times New Roman" w:hAnsi="inherit" w:cs="Courier New" w:hint="eastAsia"/>
          <w:color w:val="212121"/>
          <w:sz w:val="24"/>
          <w:szCs w:val="24"/>
          <w:lang w:eastAsia="pl-PL"/>
        </w:rPr>
        <w:t>prawnych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w UE po roku 2020. Dążymy do paktu na rzecz społeczności wiejskich i europejskiej agendy wiejskiej, w celu wspierania naszego  wkład</w:t>
      </w:r>
      <w:r w:rsidR="00D4116D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u</w:t>
      </w:r>
      <w:r w:rsidRPr="00661688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 xml:space="preserve"> i uczestnictwa w skali europejskiej, równolegle z  agendą "Pakt Amsterdamski" dla miast. Jesteśmy gotowi przyczynić się do wzmocnienia relacji między obywatelami w naszych społecznościach a celami europejskimi</w:t>
      </w:r>
      <w:r w:rsidR="00D4116D">
        <w:rPr>
          <w:rFonts w:ascii="inherit" w:eastAsia="Times New Roman" w:hAnsi="inherit" w:cs="Courier New"/>
          <w:color w:val="212121"/>
          <w:sz w:val="24"/>
          <w:szCs w:val="24"/>
          <w:lang w:eastAsia="pl-PL"/>
        </w:rPr>
        <w:t>.</w:t>
      </w:r>
    </w:p>
    <w:p w:rsidR="006E3D4E" w:rsidRPr="006E3D4E" w:rsidRDefault="006E3D4E" w:rsidP="00661688">
      <w:pPr>
        <w:spacing w:before="100" w:beforeAutospacing="1" w:after="100" w:afterAutospacing="1" w:line="240" w:lineRule="auto"/>
        <w:jc w:val="both"/>
        <w:rPr>
          <w:i/>
          <w:sz w:val="24"/>
          <w:szCs w:val="24"/>
        </w:rPr>
      </w:pPr>
      <w:r w:rsidRPr="006E3D4E">
        <w:rPr>
          <w:rFonts w:ascii="inherit" w:eastAsia="Times New Roman" w:hAnsi="inherit" w:cs="Courier New"/>
          <w:i/>
          <w:color w:val="212121"/>
          <w:sz w:val="24"/>
          <w:szCs w:val="24"/>
          <w:lang w:eastAsia="pl-PL"/>
        </w:rPr>
        <w:t>Tłumaczenie na potrzeby własne, wersja robocza</w:t>
      </w:r>
    </w:p>
    <w:p w:rsidR="00661688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</w:pPr>
    </w:p>
    <w:p w:rsidR="00661688" w:rsidRPr="00816A46" w:rsidRDefault="00661688" w:rsidP="006616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</w:pPr>
    </w:p>
    <w:p w:rsidR="000405D7" w:rsidRDefault="000405D7" w:rsidP="00661688">
      <w:pPr>
        <w:spacing w:before="100" w:beforeAutospacing="1" w:after="100" w:afterAutospacing="1" w:line="240" w:lineRule="auto"/>
      </w:pPr>
    </w:p>
    <w:sectPr w:rsidR="000405D7" w:rsidSect="00F5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F2F"/>
    <w:multiLevelType w:val="multilevel"/>
    <w:tmpl w:val="A1E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04AB9"/>
    <w:multiLevelType w:val="multilevel"/>
    <w:tmpl w:val="E182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02730"/>
    <w:multiLevelType w:val="hybridMultilevel"/>
    <w:tmpl w:val="0C101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161AC"/>
    <w:multiLevelType w:val="multilevel"/>
    <w:tmpl w:val="937C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D05CA"/>
    <w:multiLevelType w:val="multilevel"/>
    <w:tmpl w:val="A15E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A1EF9"/>
    <w:multiLevelType w:val="hybridMultilevel"/>
    <w:tmpl w:val="D4927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75832"/>
    <w:multiLevelType w:val="multilevel"/>
    <w:tmpl w:val="9FFE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95B2E"/>
    <w:multiLevelType w:val="multilevel"/>
    <w:tmpl w:val="410E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A4943"/>
    <w:multiLevelType w:val="multilevel"/>
    <w:tmpl w:val="A54C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DFF"/>
    <w:rsid w:val="000004E9"/>
    <w:rsid w:val="00012CE4"/>
    <w:rsid w:val="000405D7"/>
    <w:rsid w:val="000500A9"/>
    <w:rsid w:val="000A32D2"/>
    <w:rsid w:val="000F2FB3"/>
    <w:rsid w:val="00130E27"/>
    <w:rsid w:val="00170AEB"/>
    <w:rsid w:val="00201C34"/>
    <w:rsid w:val="00220E71"/>
    <w:rsid w:val="0026307A"/>
    <w:rsid w:val="00274931"/>
    <w:rsid w:val="0029048F"/>
    <w:rsid w:val="002B4EDC"/>
    <w:rsid w:val="002D50C7"/>
    <w:rsid w:val="002E6977"/>
    <w:rsid w:val="00340669"/>
    <w:rsid w:val="003612A6"/>
    <w:rsid w:val="00394BC5"/>
    <w:rsid w:val="003E5462"/>
    <w:rsid w:val="003F08BB"/>
    <w:rsid w:val="00412F78"/>
    <w:rsid w:val="00416A45"/>
    <w:rsid w:val="00427295"/>
    <w:rsid w:val="00435B69"/>
    <w:rsid w:val="004A6CA7"/>
    <w:rsid w:val="004B10FA"/>
    <w:rsid w:val="00525FF5"/>
    <w:rsid w:val="0056541D"/>
    <w:rsid w:val="00591679"/>
    <w:rsid w:val="005B3F93"/>
    <w:rsid w:val="005B4EBA"/>
    <w:rsid w:val="005C6606"/>
    <w:rsid w:val="006423D6"/>
    <w:rsid w:val="00661688"/>
    <w:rsid w:val="0069484F"/>
    <w:rsid w:val="006A10B2"/>
    <w:rsid w:val="006C36F1"/>
    <w:rsid w:val="006E3D4E"/>
    <w:rsid w:val="008131E3"/>
    <w:rsid w:val="008224C1"/>
    <w:rsid w:val="00822567"/>
    <w:rsid w:val="008339C8"/>
    <w:rsid w:val="00836D1E"/>
    <w:rsid w:val="00886A52"/>
    <w:rsid w:val="008C686D"/>
    <w:rsid w:val="008F0CC0"/>
    <w:rsid w:val="008F709F"/>
    <w:rsid w:val="00905CB9"/>
    <w:rsid w:val="009B7086"/>
    <w:rsid w:val="009F4F23"/>
    <w:rsid w:val="00A33E13"/>
    <w:rsid w:val="00A52507"/>
    <w:rsid w:val="00A62FED"/>
    <w:rsid w:val="00A77055"/>
    <w:rsid w:val="00AA7ECD"/>
    <w:rsid w:val="00AC4D63"/>
    <w:rsid w:val="00B140AB"/>
    <w:rsid w:val="00B7699E"/>
    <w:rsid w:val="00BC09FA"/>
    <w:rsid w:val="00C22E43"/>
    <w:rsid w:val="00C725AF"/>
    <w:rsid w:val="00CC4DFF"/>
    <w:rsid w:val="00D22E61"/>
    <w:rsid w:val="00D30E2A"/>
    <w:rsid w:val="00D4116D"/>
    <w:rsid w:val="00D82B64"/>
    <w:rsid w:val="00D96C3A"/>
    <w:rsid w:val="00E2050A"/>
    <w:rsid w:val="00E960F1"/>
    <w:rsid w:val="00EB1ADE"/>
    <w:rsid w:val="00EC5FD5"/>
    <w:rsid w:val="00EF2AE4"/>
    <w:rsid w:val="00EF5F45"/>
    <w:rsid w:val="00F12815"/>
    <w:rsid w:val="00F53E63"/>
    <w:rsid w:val="00F57B07"/>
    <w:rsid w:val="00F949D0"/>
    <w:rsid w:val="00FA3F0D"/>
    <w:rsid w:val="00FE299D"/>
    <w:rsid w:val="00FE338D"/>
    <w:rsid w:val="00FE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88"/>
  </w:style>
  <w:style w:type="paragraph" w:styleId="Nagwek2">
    <w:name w:val="heading 2"/>
    <w:basedOn w:val="Normalny"/>
    <w:link w:val="Nagwek2Znak"/>
    <w:uiPriority w:val="9"/>
    <w:qFormat/>
    <w:rsid w:val="00905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D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4D63"/>
    <w:rPr>
      <w:color w:val="0000FF"/>
      <w:u w:val="single"/>
    </w:rPr>
  </w:style>
  <w:style w:type="character" w:customStyle="1" w:styleId="txtpytanie">
    <w:name w:val="txt_pytanie"/>
    <w:basedOn w:val="Domylnaczcionkaakapitu"/>
    <w:rsid w:val="00FE7B60"/>
  </w:style>
  <w:style w:type="character" w:customStyle="1" w:styleId="Nagwek2Znak">
    <w:name w:val="Nagłówek 2 Znak"/>
    <w:basedOn w:val="Domylnaczcionkaakapitu"/>
    <w:link w:val="Nagwek2"/>
    <w:uiPriority w:val="9"/>
    <w:rsid w:val="00905C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galleryauthor">
    <w:name w:val="galleryauthor"/>
    <w:basedOn w:val="Normalny"/>
    <w:rsid w:val="0090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gcloud">
    <w:name w:val="tagcloud"/>
    <w:basedOn w:val="Normalny"/>
    <w:rsid w:val="0090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CB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0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1402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Agnieszka</cp:lastModifiedBy>
  <cp:revision>7</cp:revision>
  <dcterms:created xsi:type="dcterms:W3CDTF">2017-11-08T07:33:00Z</dcterms:created>
  <dcterms:modified xsi:type="dcterms:W3CDTF">2017-11-08T09:20:00Z</dcterms:modified>
</cp:coreProperties>
</file>